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D48" w:rsidRDefault="00732D48" w:rsidP="00732D48">
      <w:pPr>
        <w:pStyle w:val="Default"/>
        <w:spacing w:before="120"/>
        <w:ind w:left="-20" w:right="-20"/>
        <w:jc w:val="center"/>
        <w:rPr>
          <w:sz w:val="22"/>
          <w:szCs w:val="22"/>
        </w:rPr>
      </w:pPr>
      <w:r>
        <w:rPr>
          <w:b/>
          <w:bCs/>
          <w:sz w:val="22"/>
          <w:szCs w:val="22"/>
        </w:rPr>
        <w:t xml:space="preserve">ANNEX I </w:t>
      </w:r>
    </w:p>
    <w:p w:rsidR="00732D48" w:rsidRDefault="00732D48" w:rsidP="00732D48">
      <w:pPr>
        <w:pStyle w:val="Default"/>
        <w:spacing w:before="120"/>
        <w:ind w:left="-20" w:right="-20"/>
        <w:jc w:val="center"/>
        <w:rPr>
          <w:sz w:val="22"/>
          <w:szCs w:val="22"/>
        </w:rPr>
      </w:pPr>
      <w:r>
        <w:rPr>
          <w:b/>
          <w:bCs/>
          <w:sz w:val="22"/>
          <w:szCs w:val="22"/>
        </w:rPr>
        <w:t xml:space="preserve">NATURAL HABITAT TYPES OF COMMUNITY INTEREST WHOSE CONSERVATION REQUIRES THE DESIGNATION OF SPECIAL AREAS OF CONSERVATION </w:t>
      </w:r>
    </w:p>
    <w:p w:rsidR="00732D48" w:rsidRDefault="00732D48" w:rsidP="00732D48">
      <w:pPr>
        <w:pStyle w:val="Default"/>
        <w:spacing w:before="120"/>
        <w:ind w:left="-20" w:right="-20"/>
        <w:rPr>
          <w:sz w:val="22"/>
          <w:szCs w:val="22"/>
        </w:rPr>
      </w:pPr>
      <w:r>
        <w:rPr>
          <w:b/>
          <w:bCs/>
          <w:sz w:val="22"/>
          <w:szCs w:val="22"/>
        </w:rPr>
        <w:t xml:space="preserve">Interpretation </w:t>
      </w:r>
    </w:p>
    <w:p w:rsidR="00732D48" w:rsidRDefault="00732D48" w:rsidP="00732D48">
      <w:pPr>
        <w:pStyle w:val="Default"/>
        <w:spacing w:before="120"/>
        <w:ind w:left="-20" w:right="-20"/>
        <w:rPr>
          <w:color w:val="0000FF"/>
          <w:sz w:val="22"/>
          <w:szCs w:val="22"/>
        </w:rPr>
      </w:pPr>
      <w:r>
        <w:rPr>
          <w:sz w:val="22"/>
          <w:szCs w:val="22"/>
        </w:rPr>
        <w:t>Guidance on the interpretation of habitat types is given in the 'Interpretation Manual of European Union Habitats' as approved by the committee set up in Article 20 ('Habitats Committee') and published by the European Commission.</w:t>
      </w:r>
    </w:p>
    <w:p w:rsidR="00732D48" w:rsidRDefault="00732D48" w:rsidP="00732D48">
      <w:pPr>
        <w:pStyle w:val="Default"/>
        <w:spacing w:before="120"/>
        <w:ind w:left="-20" w:right="-20"/>
        <w:rPr>
          <w:sz w:val="22"/>
          <w:szCs w:val="22"/>
        </w:rPr>
      </w:pPr>
      <w:r>
        <w:rPr>
          <w:sz w:val="22"/>
          <w:szCs w:val="22"/>
        </w:rPr>
        <w:t xml:space="preserve">The code corresponds to the NATURA 2000 code. </w:t>
      </w:r>
    </w:p>
    <w:p w:rsidR="00732D48" w:rsidRDefault="00732D48" w:rsidP="00732D48">
      <w:pPr>
        <w:pStyle w:val="Default"/>
        <w:spacing w:before="120"/>
        <w:ind w:left="-20" w:right="-20"/>
        <w:rPr>
          <w:sz w:val="22"/>
          <w:szCs w:val="22"/>
        </w:rPr>
      </w:pPr>
      <w:r>
        <w:rPr>
          <w:sz w:val="22"/>
          <w:szCs w:val="22"/>
        </w:rPr>
        <w:t xml:space="preserve">The sign '*' indicates priority habitat types. </w:t>
      </w:r>
    </w:p>
    <w:p w:rsidR="00B7167A" w:rsidRDefault="00B7167A" w:rsidP="00B7167A">
      <w:pPr>
        <w:pStyle w:val="Default"/>
        <w:spacing w:before="120"/>
        <w:ind w:left="-20" w:right="-20"/>
        <w:rPr>
          <w:sz w:val="22"/>
          <w:szCs w:val="22"/>
        </w:rPr>
      </w:pPr>
    </w:p>
    <w:p w:rsidR="00B7167A" w:rsidRDefault="00732D48" w:rsidP="00B7167A">
      <w:pPr>
        <w:pStyle w:val="Default"/>
        <w:spacing w:before="120"/>
        <w:ind w:left="-20" w:right="-20"/>
        <w:rPr>
          <w:b/>
          <w:bCs/>
          <w:sz w:val="22"/>
          <w:szCs w:val="22"/>
        </w:rPr>
      </w:pPr>
      <w:r>
        <w:rPr>
          <w:b/>
          <w:bCs/>
          <w:sz w:val="22"/>
          <w:szCs w:val="22"/>
        </w:rPr>
        <w:t xml:space="preserve">2. COASTAL SAND DUNES AND INLAND DUNES </w:t>
      </w:r>
    </w:p>
    <w:p w:rsidR="00732D48" w:rsidRDefault="00732D48" w:rsidP="00B7167A">
      <w:pPr>
        <w:pStyle w:val="Default"/>
        <w:spacing w:before="120"/>
        <w:ind w:left="-20" w:right="-20"/>
        <w:rPr>
          <w:color w:val="auto"/>
          <w:sz w:val="22"/>
          <w:szCs w:val="22"/>
        </w:rPr>
      </w:pPr>
      <w:r>
        <w:rPr>
          <w:b/>
          <w:bCs/>
          <w:color w:val="auto"/>
          <w:sz w:val="22"/>
          <w:szCs w:val="22"/>
        </w:rPr>
        <w:t xml:space="preserve">21. Sea dunes of the Atlantic, North Sea and Baltic coasts </w:t>
      </w:r>
    </w:p>
    <w:p w:rsidR="00732D48" w:rsidRDefault="00732D48" w:rsidP="00732D48">
      <w:pPr>
        <w:pStyle w:val="Default"/>
        <w:spacing w:before="120"/>
        <w:ind w:left="-20" w:right="-20"/>
        <w:rPr>
          <w:color w:val="auto"/>
          <w:sz w:val="22"/>
          <w:szCs w:val="22"/>
        </w:rPr>
      </w:pPr>
      <w:r>
        <w:rPr>
          <w:color w:val="auto"/>
          <w:sz w:val="22"/>
          <w:szCs w:val="22"/>
        </w:rPr>
        <w:t xml:space="preserve">2130 * Fixed coastal dunes with herbaceous vegetation ('grey dunes') </w:t>
      </w:r>
    </w:p>
    <w:p w:rsidR="00732D48" w:rsidRDefault="00732D48" w:rsidP="00732D48">
      <w:pPr>
        <w:pStyle w:val="Default"/>
        <w:spacing w:before="120"/>
        <w:ind w:left="-20" w:right="-20"/>
        <w:rPr>
          <w:i/>
          <w:iCs/>
          <w:color w:val="auto"/>
          <w:sz w:val="22"/>
          <w:szCs w:val="22"/>
        </w:rPr>
      </w:pPr>
      <w:r>
        <w:rPr>
          <w:color w:val="auto"/>
          <w:sz w:val="22"/>
          <w:szCs w:val="22"/>
        </w:rPr>
        <w:t xml:space="preserve">2140 * Decalcified fixed dunes with </w:t>
      </w:r>
      <w:proofErr w:type="spellStart"/>
      <w:r>
        <w:rPr>
          <w:i/>
          <w:iCs/>
          <w:color w:val="auto"/>
          <w:sz w:val="22"/>
          <w:szCs w:val="22"/>
        </w:rPr>
        <w:t>Empetrum</w:t>
      </w:r>
      <w:proofErr w:type="spellEnd"/>
      <w:r>
        <w:rPr>
          <w:i/>
          <w:iCs/>
          <w:color w:val="auto"/>
          <w:sz w:val="22"/>
          <w:szCs w:val="22"/>
        </w:rPr>
        <w:t xml:space="preserve"> </w:t>
      </w:r>
      <w:proofErr w:type="spellStart"/>
      <w:r>
        <w:rPr>
          <w:i/>
          <w:iCs/>
          <w:color w:val="auto"/>
          <w:sz w:val="22"/>
          <w:szCs w:val="22"/>
        </w:rPr>
        <w:t>nigrum</w:t>
      </w:r>
      <w:proofErr w:type="spellEnd"/>
      <w:r>
        <w:rPr>
          <w:i/>
          <w:iCs/>
          <w:color w:val="auto"/>
          <w:sz w:val="22"/>
          <w:szCs w:val="22"/>
        </w:rPr>
        <w:t xml:space="preserve"> </w:t>
      </w:r>
    </w:p>
    <w:p w:rsidR="00732D48" w:rsidRDefault="00732D48" w:rsidP="00732D48">
      <w:pPr>
        <w:pStyle w:val="Default"/>
        <w:spacing w:before="120"/>
        <w:ind w:left="-20" w:right="-20"/>
        <w:rPr>
          <w:color w:val="auto"/>
          <w:sz w:val="22"/>
          <w:szCs w:val="22"/>
        </w:rPr>
      </w:pPr>
      <w:r>
        <w:rPr>
          <w:color w:val="auto"/>
          <w:sz w:val="22"/>
          <w:szCs w:val="22"/>
        </w:rPr>
        <w:t xml:space="preserve">2180 Wooded dunes of the Atlantic, Continental and Boreal region </w:t>
      </w:r>
    </w:p>
    <w:p w:rsidR="00732D48" w:rsidRDefault="00732D48" w:rsidP="00732D48">
      <w:pPr>
        <w:pStyle w:val="Default"/>
        <w:spacing w:before="120"/>
        <w:ind w:left="-20" w:right="-20"/>
        <w:rPr>
          <w:color w:val="auto"/>
          <w:sz w:val="22"/>
          <w:szCs w:val="22"/>
        </w:rPr>
      </w:pPr>
      <w:r>
        <w:rPr>
          <w:color w:val="auto"/>
          <w:sz w:val="22"/>
          <w:szCs w:val="22"/>
        </w:rPr>
        <w:t xml:space="preserve">2190 Humid dune slacks 21A0 </w:t>
      </w:r>
      <w:proofErr w:type="spellStart"/>
      <w:r>
        <w:rPr>
          <w:color w:val="auto"/>
          <w:sz w:val="22"/>
          <w:szCs w:val="22"/>
        </w:rPr>
        <w:t>Machairs</w:t>
      </w:r>
      <w:proofErr w:type="spellEnd"/>
      <w:r>
        <w:rPr>
          <w:color w:val="auto"/>
          <w:sz w:val="22"/>
          <w:szCs w:val="22"/>
        </w:rPr>
        <w:t xml:space="preserve"> (* in Ireland) </w:t>
      </w:r>
    </w:p>
    <w:p w:rsidR="00732D48" w:rsidRDefault="00732D48" w:rsidP="00732D48">
      <w:pPr>
        <w:pStyle w:val="Default"/>
        <w:spacing w:before="120"/>
        <w:ind w:left="-20" w:right="-20"/>
        <w:rPr>
          <w:color w:val="auto"/>
          <w:sz w:val="22"/>
          <w:szCs w:val="22"/>
        </w:rPr>
      </w:pPr>
      <w:r>
        <w:rPr>
          <w:b/>
          <w:bCs/>
          <w:color w:val="auto"/>
          <w:sz w:val="22"/>
          <w:szCs w:val="22"/>
        </w:rPr>
        <w:t xml:space="preserve">22. Sea dunes of the Mediterranean coast </w:t>
      </w:r>
    </w:p>
    <w:p w:rsidR="00B7167A" w:rsidRDefault="00732D48" w:rsidP="00B7167A">
      <w:pPr>
        <w:pStyle w:val="Default"/>
        <w:spacing w:before="120"/>
        <w:ind w:left="-20" w:right="-20"/>
        <w:rPr>
          <w:color w:val="auto"/>
          <w:sz w:val="22"/>
          <w:szCs w:val="22"/>
        </w:rPr>
      </w:pPr>
      <w:proofErr w:type="gramStart"/>
      <w:r>
        <w:rPr>
          <w:color w:val="auto"/>
          <w:sz w:val="22"/>
          <w:szCs w:val="22"/>
        </w:rPr>
        <w:t xml:space="preserve">2250 * Coastal dunes with </w:t>
      </w:r>
      <w:proofErr w:type="spellStart"/>
      <w:r>
        <w:rPr>
          <w:i/>
          <w:iCs/>
          <w:color w:val="auto"/>
          <w:sz w:val="22"/>
          <w:szCs w:val="22"/>
        </w:rPr>
        <w:t>Juniperus</w:t>
      </w:r>
      <w:proofErr w:type="spellEnd"/>
      <w:r>
        <w:rPr>
          <w:i/>
          <w:iCs/>
          <w:color w:val="auto"/>
          <w:sz w:val="22"/>
          <w:szCs w:val="22"/>
        </w:rPr>
        <w:t xml:space="preserve"> </w:t>
      </w:r>
      <w:r>
        <w:rPr>
          <w:color w:val="auto"/>
          <w:sz w:val="22"/>
          <w:szCs w:val="22"/>
        </w:rPr>
        <w:t>spp.</w:t>
      </w:r>
      <w:proofErr w:type="gramEnd"/>
      <w:r>
        <w:rPr>
          <w:color w:val="auto"/>
          <w:sz w:val="22"/>
          <w:szCs w:val="22"/>
        </w:rPr>
        <w:t xml:space="preserve"> </w:t>
      </w:r>
    </w:p>
    <w:p w:rsidR="00B7167A" w:rsidRDefault="00B7167A" w:rsidP="00B7167A">
      <w:pPr>
        <w:pStyle w:val="Default"/>
        <w:spacing w:before="120"/>
        <w:ind w:left="-20" w:right="-20"/>
        <w:rPr>
          <w:color w:val="auto"/>
          <w:sz w:val="22"/>
          <w:szCs w:val="22"/>
        </w:rPr>
      </w:pPr>
    </w:p>
    <w:p w:rsidR="00732D48" w:rsidRDefault="00B7167A" w:rsidP="00B7167A">
      <w:pPr>
        <w:pStyle w:val="Default"/>
        <w:spacing w:before="120"/>
        <w:ind w:left="-20" w:right="-20"/>
        <w:rPr>
          <w:color w:val="auto"/>
          <w:sz w:val="22"/>
          <w:szCs w:val="22"/>
        </w:rPr>
      </w:pPr>
      <w:r>
        <w:rPr>
          <w:b/>
          <w:bCs/>
          <w:color w:val="auto"/>
          <w:sz w:val="22"/>
          <w:szCs w:val="22"/>
        </w:rPr>
        <w:t>4</w:t>
      </w:r>
      <w:r w:rsidR="00732D48">
        <w:rPr>
          <w:b/>
          <w:bCs/>
          <w:color w:val="auto"/>
          <w:sz w:val="22"/>
          <w:szCs w:val="22"/>
        </w:rPr>
        <w:t xml:space="preserve">. TEMPERATE HEATH AND SCRUB </w:t>
      </w:r>
    </w:p>
    <w:p w:rsidR="00732D48" w:rsidRDefault="00732D48" w:rsidP="00732D48">
      <w:pPr>
        <w:pStyle w:val="Default"/>
        <w:spacing w:before="120"/>
        <w:ind w:left="-20" w:right="-20"/>
        <w:rPr>
          <w:color w:val="auto"/>
          <w:sz w:val="22"/>
          <w:szCs w:val="22"/>
        </w:rPr>
      </w:pPr>
      <w:r>
        <w:rPr>
          <w:color w:val="auto"/>
          <w:sz w:val="22"/>
          <w:szCs w:val="22"/>
        </w:rPr>
        <w:t xml:space="preserve">4010 Northern Atlantic wet heaths with </w:t>
      </w:r>
      <w:r>
        <w:rPr>
          <w:i/>
          <w:iCs/>
          <w:color w:val="auto"/>
          <w:sz w:val="22"/>
          <w:szCs w:val="22"/>
        </w:rPr>
        <w:t xml:space="preserve">Erica </w:t>
      </w:r>
      <w:proofErr w:type="spellStart"/>
      <w:r>
        <w:rPr>
          <w:i/>
          <w:iCs/>
          <w:color w:val="auto"/>
          <w:sz w:val="22"/>
          <w:szCs w:val="22"/>
        </w:rPr>
        <w:t>tetralix</w:t>
      </w:r>
      <w:proofErr w:type="spellEnd"/>
      <w:r>
        <w:rPr>
          <w:i/>
          <w:iCs/>
          <w:color w:val="auto"/>
          <w:sz w:val="22"/>
          <w:szCs w:val="22"/>
        </w:rPr>
        <w:t xml:space="preserve"> </w:t>
      </w:r>
    </w:p>
    <w:p w:rsidR="00732D48" w:rsidRDefault="00732D48" w:rsidP="00732D48">
      <w:pPr>
        <w:pStyle w:val="Default"/>
        <w:spacing w:before="120"/>
        <w:ind w:left="-20" w:right="-20"/>
        <w:rPr>
          <w:color w:val="auto"/>
          <w:sz w:val="22"/>
          <w:szCs w:val="22"/>
        </w:rPr>
      </w:pPr>
      <w:r>
        <w:rPr>
          <w:color w:val="auto"/>
          <w:sz w:val="22"/>
          <w:szCs w:val="22"/>
        </w:rPr>
        <w:t xml:space="preserve">4030 European dry heaths </w:t>
      </w:r>
    </w:p>
    <w:p w:rsidR="00B7167A" w:rsidRDefault="00B7167A" w:rsidP="00B7167A">
      <w:pPr>
        <w:pStyle w:val="Default"/>
        <w:spacing w:before="120"/>
        <w:ind w:left="-20" w:right="-20"/>
        <w:rPr>
          <w:b/>
          <w:bCs/>
          <w:color w:val="auto"/>
          <w:sz w:val="22"/>
          <w:szCs w:val="22"/>
        </w:rPr>
      </w:pPr>
    </w:p>
    <w:p w:rsidR="00732D48" w:rsidRDefault="00732D48" w:rsidP="00B7167A">
      <w:pPr>
        <w:pStyle w:val="Default"/>
        <w:spacing w:before="120"/>
        <w:ind w:left="-20" w:right="-20"/>
        <w:rPr>
          <w:color w:val="auto"/>
          <w:sz w:val="22"/>
          <w:szCs w:val="22"/>
        </w:rPr>
      </w:pPr>
      <w:r>
        <w:rPr>
          <w:b/>
          <w:bCs/>
          <w:color w:val="auto"/>
          <w:sz w:val="22"/>
          <w:szCs w:val="22"/>
        </w:rPr>
        <w:t xml:space="preserve">5. SCLEROPHYLLOUS SCRUB (MATORRAL) </w:t>
      </w:r>
    </w:p>
    <w:p w:rsidR="00732D48" w:rsidRDefault="00732D48" w:rsidP="00732D48">
      <w:pPr>
        <w:pStyle w:val="Default"/>
        <w:spacing w:before="120"/>
        <w:ind w:left="-20" w:right="-20"/>
        <w:rPr>
          <w:color w:val="auto"/>
          <w:sz w:val="22"/>
          <w:szCs w:val="22"/>
        </w:rPr>
      </w:pPr>
      <w:r>
        <w:rPr>
          <w:b/>
          <w:bCs/>
          <w:color w:val="auto"/>
          <w:sz w:val="22"/>
          <w:szCs w:val="22"/>
        </w:rPr>
        <w:t xml:space="preserve">51. Sub-Mediterranean and temperate scrub </w:t>
      </w:r>
    </w:p>
    <w:p w:rsidR="00732D48" w:rsidRDefault="00732D48" w:rsidP="00732D48">
      <w:pPr>
        <w:pStyle w:val="Default"/>
        <w:spacing w:before="120"/>
        <w:ind w:left="-20" w:right="-20"/>
        <w:rPr>
          <w:color w:val="auto"/>
          <w:sz w:val="22"/>
          <w:szCs w:val="22"/>
        </w:rPr>
      </w:pPr>
      <w:r>
        <w:rPr>
          <w:color w:val="auto"/>
          <w:sz w:val="22"/>
          <w:szCs w:val="22"/>
        </w:rPr>
        <w:t xml:space="preserve">5130 </w:t>
      </w:r>
      <w:proofErr w:type="spellStart"/>
      <w:r>
        <w:rPr>
          <w:i/>
          <w:iCs/>
          <w:color w:val="auto"/>
          <w:sz w:val="22"/>
          <w:szCs w:val="22"/>
        </w:rPr>
        <w:t>Juniperus</w:t>
      </w:r>
      <w:proofErr w:type="spellEnd"/>
      <w:r>
        <w:rPr>
          <w:i/>
          <w:iCs/>
          <w:color w:val="auto"/>
          <w:sz w:val="22"/>
          <w:szCs w:val="22"/>
        </w:rPr>
        <w:t xml:space="preserve"> </w:t>
      </w:r>
      <w:proofErr w:type="spellStart"/>
      <w:r>
        <w:rPr>
          <w:i/>
          <w:iCs/>
          <w:color w:val="auto"/>
          <w:sz w:val="22"/>
          <w:szCs w:val="22"/>
        </w:rPr>
        <w:t>communis</w:t>
      </w:r>
      <w:proofErr w:type="spellEnd"/>
      <w:r>
        <w:rPr>
          <w:i/>
          <w:iCs/>
          <w:color w:val="auto"/>
          <w:sz w:val="22"/>
          <w:szCs w:val="22"/>
        </w:rPr>
        <w:t xml:space="preserve"> </w:t>
      </w:r>
      <w:r>
        <w:rPr>
          <w:color w:val="auto"/>
          <w:sz w:val="22"/>
          <w:szCs w:val="22"/>
        </w:rPr>
        <w:t xml:space="preserve">formations on heaths or calcareous grasslands </w:t>
      </w:r>
    </w:p>
    <w:p w:rsidR="00B7167A" w:rsidRDefault="00B7167A" w:rsidP="00B7167A">
      <w:pPr>
        <w:pStyle w:val="Default"/>
        <w:spacing w:before="120"/>
        <w:ind w:left="-20" w:right="-20"/>
        <w:rPr>
          <w:b/>
          <w:bCs/>
          <w:color w:val="auto"/>
          <w:sz w:val="22"/>
          <w:szCs w:val="22"/>
        </w:rPr>
      </w:pPr>
    </w:p>
    <w:p w:rsidR="00732D48" w:rsidRDefault="00732D48" w:rsidP="00B7167A">
      <w:pPr>
        <w:pStyle w:val="Default"/>
        <w:spacing w:before="120"/>
        <w:ind w:left="-20" w:right="-20"/>
        <w:rPr>
          <w:color w:val="auto"/>
          <w:sz w:val="22"/>
          <w:szCs w:val="22"/>
        </w:rPr>
      </w:pPr>
      <w:r>
        <w:rPr>
          <w:b/>
          <w:bCs/>
          <w:color w:val="auto"/>
          <w:sz w:val="22"/>
          <w:szCs w:val="22"/>
        </w:rPr>
        <w:t xml:space="preserve">6. NATURAL AND SEMI-NATURAL GRASSLAND FORMATIONS </w:t>
      </w:r>
    </w:p>
    <w:p w:rsidR="00732D48" w:rsidRDefault="00732D48" w:rsidP="00732D48">
      <w:pPr>
        <w:pStyle w:val="Default"/>
        <w:spacing w:before="120"/>
        <w:ind w:left="-20" w:right="-20"/>
        <w:rPr>
          <w:color w:val="auto"/>
          <w:sz w:val="22"/>
          <w:szCs w:val="22"/>
        </w:rPr>
      </w:pPr>
      <w:r>
        <w:rPr>
          <w:b/>
          <w:bCs/>
          <w:color w:val="auto"/>
          <w:sz w:val="22"/>
          <w:szCs w:val="22"/>
        </w:rPr>
        <w:t xml:space="preserve">62. Semi-natural dry grasslands and scrubland </w:t>
      </w:r>
      <w:proofErr w:type="spellStart"/>
      <w:r>
        <w:rPr>
          <w:b/>
          <w:bCs/>
          <w:color w:val="auto"/>
          <w:sz w:val="22"/>
          <w:szCs w:val="22"/>
        </w:rPr>
        <w:t>facies</w:t>
      </w:r>
      <w:proofErr w:type="spellEnd"/>
      <w:r>
        <w:rPr>
          <w:b/>
          <w:bCs/>
          <w:color w:val="auto"/>
          <w:sz w:val="22"/>
          <w:szCs w:val="22"/>
        </w:rPr>
        <w:t xml:space="preserve"> </w:t>
      </w:r>
    </w:p>
    <w:p w:rsidR="00732D48" w:rsidRDefault="00732D48" w:rsidP="00732D48">
      <w:pPr>
        <w:pStyle w:val="Default"/>
        <w:spacing w:before="120"/>
        <w:ind w:left="-20" w:right="-20"/>
        <w:rPr>
          <w:color w:val="auto"/>
          <w:sz w:val="22"/>
          <w:szCs w:val="22"/>
        </w:rPr>
      </w:pPr>
      <w:r>
        <w:rPr>
          <w:color w:val="auto"/>
          <w:sz w:val="22"/>
          <w:szCs w:val="22"/>
        </w:rPr>
        <w:t xml:space="preserve">6210 Semi-natural dry grasslands and scrubland </w:t>
      </w:r>
      <w:proofErr w:type="spellStart"/>
      <w:r>
        <w:rPr>
          <w:color w:val="auto"/>
          <w:sz w:val="22"/>
          <w:szCs w:val="22"/>
        </w:rPr>
        <w:t>facies</w:t>
      </w:r>
      <w:proofErr w:type="spellEnd"/>
      <w:r>
        <w:rPr>
          <w:color w:val="auto"/>
          <w:sz w:val="22"/>
          <w:szCs w:val="22"/>
        </w:rPr>
        <w:t xml:space="preserve"> on calcareous substrates (</w:t>
      </w:r>
      <w:proofErr w:type="spellStart"/>
      <w:r>
        <w:rPr>
          <w:i/>
          <w:iCs/>
          <w:color w:val="auto"/>
          <w:sz w:val="22"/>
          <w:szCs w:val="22"/>
        </w:rPr>
        <w:t>Festuco-Brometalia</w:t>
      </w:r>
      <w:proofErr w:type="spellEnd"/>
      <w:r>
        <w:rPr>
          <w:color w:val="auto"/>
          <w:sz w:val="22"/>
          <w:szCs w:val="22"/>
        </w:rPr>
        <w:t xml:space="preserve">) (* important orchid sites) </w:t>
      </w:r>
    </w:p>
    <w:p w:rsidR="00732D48" w:rsidRPr="00B7167A" w:rsidRDefault="00732D48" w:rsidP="00B7167A">
      <w:pPr>
        <w:pStyle w:val="Default"/>
        <w:spacing w:before="120"/>
        <w:ind w:left="-20" w:right="-20"/>
        <w:rPr>
          <w:color w:val="auto"/>
          <w:sz w:val="22"/>
          <w:szCs w:val="22"/>
        </w:rPr>
      </w:pPr>
      <w:r>
        <w:rPr>
          <w:color w:val="auto"/>
          <w:sz w:val="22"/>
          <w:szCs w:val="22"/>
        </w:rPr>
        <w:t xml:space="preserve">6230 * Species-rich </w:t>
      </w:r>
      <w:proofErr w:type="spellStart"/>
      <w:r>
        <w:rPr>
          <w:i/>
          <w:iCs/>
          <w:color w:val="auto"/>
          <w:sz w:val="22"/>
          <w:szCs w:val="22"/>
        </w:rPr>
        <w:t>Nardus</w:t>
      </w:r>
      <w:proofErr w:type="spellEnd"/>
      <w:r>
        <w:rPr>
          <w:i/>
          <w:iCs/>
          <w:color w:val="auto"/>
          <w:sz w:val="22"/>
          <w:szCs w:val="22"/>
        </w:rPr>
        <w:t xml:space="preserve"> </w:t>
      </w:r>
      <w:r>
        <w:rPr>
          <w:color w:val="auto"/>
          <w:sz w:val="22"/>
          <w:szCs w:val="22"/>
        </w:rPr>
        <w:t xml:space="preserve">grasslands, on </w:t>
      </w:r>
      <w:proofErr w:type="spellStart"/>
      <w:r>
        <w:rPr>
          <w:color w:val="auto"/>
          <w:sz w:val="22"/>
          <w:szCs w:val="22"/>
        </w:rPr>
        <w:t>silicious</w:t>
      </w:r>
      <w:proofErr w:type="spellEnd"/>
      <w:r>
        <w:rPr>
          <w:color w:val="auto"/>
          <w:sz w:val="22"/>
          <w:szCs w:val="22"/>
        </w:rPr>
        <w:t xml:space="preserve"> substrates in mountain areas (and </w:t>
      </w:r>
      <w:proofErr w:type="spellStart"/>
      <w:r>
        <w:rPr>
          <w:color w:val="auto"/>
          <w:sz w:val="22"/>
          <w:szCs w:val="22"/>
        </w:rPr>
        <w:t>submountain</w:t>
      </w:r>
      <w:proofErr w:type="spellEnd"/>
      <w:r>
        <w:rPr>
          <w:color w:val="auto"/>
          <w:sz w:val="22"/>
          <w:szCs w:val="22"/>
        </w:rPr>
        <w:t xml:space="preserve"> areas in Continental Europe) </w:t>
      </w:r>
    </w:p>
    <w:p w:rsidR="00732D48" w:rsidRDefault="00732D48" w:rsidP="00732D48">
      <w:pPr>
        <w:pStyle w:val="Default"/>
        <w:spacing w:before="120"/>
        <w:ind w:left="-20" w:right="-20"/>
        <w:rPr>
          <w:color w:val="auto"/>
          <w:sz w:val="22"/>
          <w:szCs w:val="22"/>
        </w:rPr>
      </w:pPr>
      <w:r>
        <w:rPr>
          <w:b/>
          <w:bCs/>
          <w:color w:val="auto"/>
          <w:sz w:val="22"/>
          <w:szCs w:val="22"/>
        </w:rPr>
        <w:t xml:space="preserve">64. Semi-natural tall-herb humid meadows </w:t>
      </w:r>
    </w:p>
    <w:p w:rsidR="00732D48" w:rsidRDefault="00732D48" w:rsidP="00732D48">
      <w:pPr>
        <w:pStyle w:val="Default"/>
        <w:spacing w:before="120"/>
        <w:ind w:left="-20" w:right="-20"/>
        <w:rPr>
          <w:color w:val="auto"/>
          <w:sz w:val="22"/>
          <w:szCs w:val="22"/>
        </w:rPr>
      </w:pPr>
      <w:r>
        <w:rPr>
          <w:color w:val="auto"/>
          <w:sz w:val="22"/>
          <w:szCs w:val="22"/>
        </w:rPr>
        <w:t xml:space="preserve">6410 </w:t>
      </w:r>
      <w:proofErr w:type="spellStart"/>
      <w:r>
        <w:rPr>
          <w:i/>
          <w:iCs/>
          <w:color w:val="auto"/>
          <w:sz w:val="22"/>
          <w:szCs w:val="22"/>
        </w:rPr>
        <w:t>Molinia</w:t>
      </w:r>
      <w:proofErr w:type="spellEnd"/>
      <w:r>
        <w:rPr>
          <w:i/>
          <w:iCs/>
          <w:color w:val="auto"/>
          <w:sz w:val="22"/>
          <w:szCs w:val="22"/>
        </w:rPr>
        <w:t xml:space="preserve"> </w:t>
      </w:r>
      <w:r>
        <w:rPr>
          <w:color w:val="auto"/>
          <w:sz w:val="22"/>
          <w:szCs w:val="22"/>
        </w:rPr>
        <w:t>meadows on calcareous, peaty or clayey-silt-laden soils (</w:t>
      </w:r>
      <w:proofErr w:type="spellStart"/>
      <w:r>
        <w:rPr>
          <w:i/>
          <w:iCs/>
          <w:color w:val="auto"/>
          <w:sz w:val="22"/>
          <w:szCs w:val="22"/>
        </w:rPr>
        <w:t>Molinion</w:t>
      </w:r>
      <w:proofErr w:type="spellEnd"/>
      <w:r>
        <w:rPr>
          <w:i/>
          <w:iCs/>
          <w:color w:val="auto"/>
          <w:sz w:val="22"/>
          <w:szCs w:val="22"/>
        </w:rPr>
        <w:t xml:space="preserve"> </w:t>
      </w:r>
      <w:proofErr w:type="spellStart"/>
      <w:r>
        <w:rPr>
          <w:i/>
          <w:iCs/>
          <w:color w:val="auto"/>
          <w:sz w:val="22"/>
          <w:szCs w:val="22"/>
        </w:rPr>
        <w:t>caeruleae</w:t>
      </w:r>
      <w:proofErr w:type="spellEnd"/>
      <w:r>
        <w:rPr>
          <w:color w:val="auto"/>
          <w:sz w:val="22"/>
          <w:szCs w:val="22"/>
        </w:rPr>
        <w:t xml:space="preserve">) </w:t>
      </w:r>
    </w:p>
    <w:p w:rsidR="00B7167A" w:rsidRDefault="00B7167A" w:rsidP="00B7167A">
      <w:pPr>
        <w:pStyle w:val="Default"/>
        <w:spacing w:before="120"/>
        <w:ind w:left="-20" w:right="-20"/>
        <w:rPr>
          <w:b/>
          <w:bCs/>
          <w:color w:val="auto"/>
          <w:sz w:val="22"/>
          <w:szCs w:val="22"/>
        </w:rPr>
      </w:pPr>
    </w:p>
    <w:p w:rsidR="00732D48" w:rsidRDefault="00732D48" w:rsidP="00B7167A">
      <w:pPr>
        <w:pStyle w:val="Default"/>
        <w:spacing w:before="120"/>
        <w:ind w:left="-20" w:right="-20"/>
        <w:rPr>
          <w:color w:val="auto"/>
          <w:sz w:val="22"/>
          <w:szCs w:val="22"/>
        </w:rPr>
      </w:pPr>
      <w:r>
        <w:rPr>
          <w:b/>
          <w:bCs/>
          <w:color w:val="auto"/>
          <w:sz w:val="22"/>
          <w:szCs w:val="22"/>
        </w:rPr>
        <w:lastRenderedPageBreak/>
        <w:t xml:space="preserve">7. RAISED BOGS AND MIRES AND FENS </w:t>
      </w:r>
    </w:p>
    <w:p w:rsidR="00732D48" w:rsidRDefault="00732D48" w:rsidP="00732D48">
      <w:pPr>
        <w:pStyle w:val="Default"/>
        <w:spacing w:before="120"/>
        <w:ind w:left="-20" w:right="-20"/>
        <w:rPr>
          <w:color w:val="auto"/>
          <w:sz w:val="22"/>
          <w:szCs w:val="22"/>
        </w:rPr>
      </w:pPr>
      <w:r>
        <w:rPr>
          <w:b/>
          <w:bCs/>
          <w:color w:val="auto"/>
          <w:sz w:val="22"/>
          <w:szCs w:val="22"/>
        </w:rPr>
        <w:t xml:space="preserve">71. Sphagnum acid bogs </w:t>
      </w:r>
    </w:p>
    <w:p w:rsidR="00732D48" w:rsidRDefault="00732D48" w:rsidP="00732D48">
      <w:pPr>
        <w:pStyle w:val="Default"/>
        <w:spacing w:before="120"/>
        <w:ind w:left="-20" w:right="-20"/>
        <w:rPr>
          <w:color w:val="auto"/>
          <w:sz w:val="22"/>
          <w:szCs w:val="22"/>
        </w:rPr>
      </w:pPr>
      <w:r>
        <w:rPr>
          <w:color w:val="auto"/>
          <w:sz w:val="22"/>
          <w:szCs w:val="22"/>
        </w:rPr>
        <w:t xml:space="preserve">7110 * Active raised bogs </w:t>
      </w:r>
    </w:p>
    <w:p w:rsidR="00732D48" w:rsidRDefault="00732D48" w:rsidP="00732D48">
      <w:pPr>
        <w:pStyle w:val="Default"/>
        <w:spacing w:before="120"/>
        <w:ind w:left="-20" w:right="-20"/>
        <w:rPr>
          <w:color w:val="auto"/>
          <w:sz w:val="22"/>
          <w:szCs w:val="22"/>
        </w:rPr>
      </w:pPr>
      <w:r>
        <w:rPr>
          <w:color w:val="auto"/>
          <w:sz w:val="22"/>
          <w:szCs w:val="22"/>
        </w:rPr>
        <w:t xml:space="preserve">7120 Degraded raised bogs still capable of natural regeneration </w:t>
      </w:r>
    </w:p>
    <w:p w:rsidR="00732D48" w:rsidRDefault="00732D48" w:rsidP="00732D48">
      <w:pPr>
        <w:pStyle w:val="Default"/>
        <w:spacing w:before="120"/>
        <w:ind w:left="-20" w:right="-20"/>
        <w:rPr>
          <w:color w:val="auto"/>
          <w:sz w:val="22"/>
          <w:szCs w:val="22"/>
        </w:rPr>
      </w:pPr>
      <w:r>
        <w:rPr>
          <w:color w:val="auto"/>
          <w:sz w:val="22"/>
          <w:szCs w:val="22"/>
        </w:rPr>
        <w:t>7140 Transition mires and quaking bogs</w:t>
      </w:r>
    </w:p>
    <w:p w:rsidR="00732D48" w:rsidRDefault="00732D48" w:rsidP="00732D48">
      <w:pPr>
        <w:pStyle w:val="Default"/>
        <w:spacing w:before="120"/>
        <w:ind w:left="-20" w:right="-20"/>
        <w:rPr>
          <w:i/>
          <w:iCs/>
          <w:color w:val="auto"/>
          <w:sz w:val="22"/>
          <w:szCs w:val="22"/>
        </w:rPr>
      </w:pPr>
      <w:r>
        <w:rPr>
          <w:color w:val="auto"/>
          <w:sz w:val="22"/>
          <w:szCs w:val="22"/>
        </w:rPr>
        <w:t xml:space="preserve">7150 Depressions on peat substrates of the </w:t>
      </w:r>
      <w:proofErr w:type="spellStart"/>
      <w:r>
        <w:rPr>
          <w:i/>
          <w:iCs/>
          <w:color w:val="auto"/>
          <w:sz w:val="22"/>
          <w:szCs w:val="22"/>
        </w:rPr>
        <w:t>Rhynchosporion</w:t>
      </w:r>
      <w:proofErr w:type="spellEnd"/>
      <w:r>
        <w:rPr>
          <w:i/>
          <w:iCs/>
          <w:color w:val="auto"/>
          <w:sz w:val="22"/>
          <w:szCs w:val="22"/>
        </w:rPr>
        <w:t xml:space="preserve"> </w:t>
      </w:r>
    </w:p>
    <w:p w:rsidR="00732D48" w:rsidRDefault="00732D48" w:rsidP="00732D48">
      <w:pPr>
        <w:pStyle w:val="Default"/>
        <w:spacing w:before="120"/>
        <w:ind w:left="-20" w:right="-20"/>
        <w:rPr>
          <w:color w:val="auto"/>
          <w:sz w:val="22"/>
          <w:szCs w:val="22"/>
        </w:rPr>
      </w:pPr>
      <w:r>
        <w:rPr>
          <w:b/>
          <w:bCs/>
          <w:color w:val="auto"/>
          <w:sz w:val="22"/>
          <w:szCs w:val="22"/>
        </w:rPr>
        <w:t xml:space="preserve">72. Calcareous fens </w:t>
      </w:r>
    </w:p>
    <w:p w:rsidR="00732D48" w:rsidRDefault="00732D48" w:rsidP="00732D48">
      <w:pPr>
        <w:pStyle w:val="Default"/>
        <w:spacing w:before="120"/>
        <w:ind w:left="-20" w:right="-20"/>
        <w:rPr>
          <w:color w:val="auto"/>
          <w:sz w:val="22"/>
          <w:szCs w:val="22"/>
        </w:rPr>
      </w:pPr>
      <w:r>
        <w:rPr>
          <w:color w:val="auto"/>
          <w:sz w:val="22"/>
          <w:szCs w:val="22"/>
        </w:rPr>
        <w:t xml:space="preserve">7220 * Petrifying springs with </w:t>
      </w:r>
      <w:proofErr w:type="spellStart"/>
      <w:r>
        <w:rPr>
          <w:color w:val="auto"/>
          <w:sz w:val="22"/>
          <w:szCs w:val="22"/>
        </w:rPr>
        <w:t>tufa</w:t>
      </w:r>
      <w:proofErr w:type="spellEnd"/>
      <w:r>
        <w:rPr>
          <w:color w:val="auto"/>
          <w:sz w:val="22"/>
          <w:szCs w:val="22"/>
        </w:rPr>
        <w:t xml:space="preserve"> formation (</w:t>
      </w:r>
      <w:proofErr w:type="spellStart"/>
      <w:r>
        <w:rPr>
          <w:i/>
          <w:iCs/>
          <w:color w:val="auto"/>
          <w:sz w:val="22"/>
          <w:szCs w:val="22"/>
        </w:rPr>
        <w:t>Cratoneurion</w:t>
      </w:r>
      <w:proofErr w:type="spellEnd"/>
      <w:r>
        <w:rPr>
          <w:color w:val="auto"/>
          <w:sz w:val="22"/>
          <w:szCs w:val="22"/>
        </w:rPr>
        <w:t xml:space="preserve">) </w:t>
      </w:r>
    </w:p>
    <w:p w:rsidR="00732D48" w:rsidRDefault="00732D48" w:rsidP="00732D48">
      <w:pPr>
        <w:pStyle w:val="Default"/>
        <w:spacing w:before="120"/>
        <w:ind w:left="-20" w:right="-20"/>
        <w:rPr>
          <w:color w:val="auto"/>
          <w:sz w:val="22"/>
          <w:szCs w:val="22"/>
        </w:rPr>
      </w:pPr>
      <w:r>
        <w:rPr>
          <w:color w:val="auto"/>
          <w:sz w:val="22"/>
          <w:szCs w:val="22"/>
        </w:rPr>
        <w:t xml:space="preserve">7230 Alkaline fens </w:t>
      </w:r>
    </w:p>
    <w:p w:rsidR="00732D48" w:rsidRDefault="00732D48" w:rsidP="00B7167A">
      <w:pPr>
        <w:pStyle w:val="Default"/>
        <w:spacing w:before="120"/>
        <w:ind w:left="-20" w:right="-20"/>
        <w:rPr>
          <w:color w:val="auto"/>
          <w:sz w:val="22"/>
          <w:szCs w:val="22"/>
        </w:rPr>
      </w:pPr>
      <w:r>
        <w:rPr>
          <w:b/>
          <w:bCs/>
          <w:color w:val="auto"/>
          <w:sz w:val="22"/>
          <w:szCs w:val="22"/>
        </w:rPr>
        <w:t xml:space="preserve">9. FORESTS </w:t>
      </w:r>
    </w:p>
    <w:p w:rsidR="00732D48" w:rsidRDefault="00732D48" w:rsidP="00B7167A">
      <w:pPr>
        <w:pStyle w:val="Default"/>
        <w:spacing w:before="120"/>
        <w:ind w:left="-20" w:right="-20"/>
        <w:rPr>
          <w:color w:val="auto"/>
          <w:sz w:val="22"/>
          <w:szCs w:val="22"/>
        </w:rPr>
      </w:pPr>
      <w:r>
        <w:rPr>
          <w:b/>
          <w:bCs/>
          <w:color w:val="auto"/>
          <w:sz w:val="22"/>
          <w:szCs w:val="22"/>
        </w:rPr>
        <w:t xml:space="preserve">(Sub)natural woodland vegetation comprising native species forming forests of tall trees, with typical undergrowth, and meeting the following criteria: rare or residual, and/or hosting species of Community interest </w:t>
      </w:r>
    </w:p>
    <w:p w:rsidR="00732D48" w:rsidRDefault="00732D48" w:rsidP="00732D48">
      <w:pPr>
        <w:pStyle w:val="Default"/>
        <w:spacing w:before="120"/>
        <w:ind w:left="-20" w:right="-20"/>
        <w:rPr>
          <w:color w:val="auto"/>
          <w:sz w:val="22"/>
          <w:szCs w:val="22"/>
        </w:rPr>
      </w:pPr>
      <w:r>
        <w:rPr>
          <w:b/>
          <w:bCs/>
          <w:color w:val="auto"/>
          <w:sz w:val="22"/>
          <w:szCs w:val="22"/>
        </w:rPr>
        <w:t xml:space="preserve">90. Forests of Boreal Europe </w:t>
      </w:r>
    </w:p>
    <w:p w:rsidR="00732D48" w:rsidRDefault="00732D48" w:rsidP="00732D48">
      <w:pPr>
        <w:pStyle w:val="Default"/>
        <w:spacing w:before="120"/>
        <w:ind w:left="-20" w:right="-20"/>
        <w:rPr>
          <w:color w:val="auto"/>
          <w:sz w:val="22"/>
          <w:szCs w:val="22"/>
        </w:rPr>
      </w:pPr>
      <w:r>
        <w:rPr>
          <w:color w:val="auto"/>
          <w:sz w:val="22"/>
          <w:szCs w:val="22"/>
        </w:rPr>
        <w:t xml:space="preserve">9010 * Western </w:t>
      </w:r>
      <w:proofErr w:type="spellStart"/>
      <w:r>
        <w:rPr>
          <w:color w:val="auto"/>
          <w:sz w:val="22"/>
          <w:szCs w:val="22"/>
        </w:rPr>
        <w:t>Taïga</w:t>
      </w:r>
      <w:proofErr w:type="spellEnd"/>
      <w:r>
        <w:rPr>
          <w:color w:val="auto"/>
          <w:sz w:val="22"/>
          <w:szCs w:val="22"/>
        </w:rPr>
        <w:t xml:space="preserve"> 9020 * </w:t>
      </w:r>
      <w:proofErr w:type="spellStart"/>
      <w:r>
        <w:rPr>
          <w:color w:val="auto"/>
          <w:sz w:val="22"/>
          <w:szCs w:val="22"/>
        </w:rPr>
        <w:t>Fennoscandian</w:t>
      </w:r>
      <w:proofErr w:type="spellEnd"/>
      <w:r>
        <w:rPr>
          <w:color w:val="auto"/>
          <w:sz w:val="22"/>
          <w:szCs w:val="22"/>
        </w:rPr>
        <w:t xml:space="preserve"> </w:t>
      </w:r>
      <w:proofErr w:type="spellStart"/>
      <w:r>
        <w:rPr>
          <w:color w:val="auto"/>
          <w:sz w:val="22"/>
          <w:szCs w:val="22"/>
        </w:rPr>
        <w:t>hemiboreal</w:t>
      </w:r>
      <w:proofErr w:type="spellEnd"/>
      <w:r>
        <w:rPr>
          <w:color w:val="auto"/>
          <w:sz w:val="22"/>
          <w:szCs w:val="22"/>
        </w:rPr>
        <w:t xml:space="preserve"> natural old broad-leaved deciduous forests (</w:t>
      </w:r>
      <w:proofErr w:type="spellStart"/>
      <w:r>
        <w:rPr>
          <w:i/>
          <w:iCs/>
          <w:color w:val="auto"/>
          <w:sz w:val="22"/>
          <w:szCs w:val="22"/>
        </w:rPr>
        <w:t>Quercus</w:t>
      </w:r>
      <w:proofErr w:type="spellEnd"/>
      <w:r>
        <w:rPr>
          <w:color w:val="auto"/>
          <w:sz w:val="22"/>
          <w:szCs w:val="22"/>
        </w:rPr>
        <w:t xml:space="preserve">, </w:t>
      </w:r>
      <w:proofErr w:type="spellStart"/>
      <w:r>
        <w:rPr>
          <w:i/>
          <w:iCs/>
          <w:color w:val="auto"/>
          <w:sz w:val="22"/>
          <w:szCs w:val="22"/>
        </w:rPr>
        <w:t>Tilia</w:t>
      </w:r>
      <w:proofErr w:type="spellEnd"/>
      <w:r>
        <w:rPr>
          <w:color w:val="auto"/>
          <w:sz w:val="22"/>
          <w:szCs w:val="22"/>
        </w:rPr>
        <w:t xml:space="preserve">, </w:t>
      </w:r>
      <w:r>
        <w:rPr>
          <w:i/>
          <w:iCs/>
          <w:color w:val="auto"/>
          <w:sz w:val="22"/>
          <w:szCs w:val="22"/>
        </w:rPr>
        <w:t>Acer</w:t>
      </w:r>
      <w:r>
        <w:rPr>
          <w:color w:val="auto"/>
          <w:sz w:val="22"/>
          <w:szCs w:val="22"/>
        </w:rPr>
        <w:t xml:space="preserve">, </w:t>
      </w:r>
      <w:proofErr w:type="spellStart"/>
      <w:r>
        <w:rPr>
          <w:i/>
          <w:iCs/>
          <w:color w:val="auto"/>
          <w:sz w:val="22"/>
          <w:szCs w:val="22"/>
        </w:rPr>
        <w:t>Fraxinus</w:t>
      </w:r>
      <w:proofErr w:type="spellEnd"/>
      <w:r>
        <w:rPr>
          <w:i/>
          <w:iCs/>
          <w:color w:val="auto"/>
          <w:sz w:val="22"/>
          <w:szCs w:val="22"/>
        </w:rPr>
        <w:t xml:space="preserve"> </w:t>
      </w:r>
      <w:r>
        <w:rPr>
          <w:color w:val="auto"/>
          <w:sz w:val="22"/>
          <w:szCs w:val="22"/>
        </w:rPr>
        <w:t xml:space="preserve">or </w:t>
      </w:r>
      <w:proofErr w:type="spellStart"/>
      <w:r>
        <w:rPr>
          <w:i/>
          <w:iCs/>
          <w:color w:val="auto"/>
          <w:sz w:val="22"/>
          <w:szCs w:val="22"/>
        </w:rPr>
        <w:t>Ulmus</w:t>
      </w:r>
      <w:proofErr w:type="spellEnd"/>
      <w:r>
        <w:rPr>
          <w:color w:val="auto"/>
          <w:sz w:val="22"/>
          <w:szCs w:val="22"/>
        </w:rPr>
        <w:t xml:space="preserve">) rich in epiphytes 9030 * Natural forests of primary succession stages of </w:t>
      </w:r>
      <w:proofErr w:type="spellStart"/>
      <w:r>
        <w:rPr>
          <w:color w:val="auto"/>
          <w:sz w:val="22"/>
          <w:szCs w:val="22"/>
        </w:rPr>
        <w:t>landupheaval</w:t>
      </w:r>
      <w:proofErr w:type="spellEnd"/>
      <w:r>
        <w:rPr>
          <w:color w:val="auto"/>
          <w:sz w:val="22"/>
          <w:szCs w:val="22"/>
        </w:rPr>
        <w:t xml:space="preserve"> coast 9040 Nordic subalpine/subarctic forests with </w:t>
      </w:r>
      <w:proofErr w:type="spellStart"/>
      <w:r>
        <w:rPr>
          <w:i/>
          <w:iCs/>
          <w:color w:val="auto"/>
          <w:sz w:val="22"/>
          <w:szCs w:val="22"/>
        </w:rPr>
        <w:t>Betula</w:t>
      </w:r>
      <w:proofErr w:type="spellEnd"/>
      <w:r>
        <w:rPr>
          <w:i/>
          <w:iCs/>
          <w:color w:val="auto"/>
          <w:sz w:val="22"/>
          <w:szCs w:val="22"/>
        </w:rPr>
        <w:t xml:space="preserve"> </w:t>
      </w:r>
      <w:proofErr w:type="spellStart"/>
      <w:r>
        <w:rPr>
          <w:i/>
          <w:iCs/>
          <w:color w:val="auto"/>
          <w:sz w:val="22"/>
          <w:szCs w:val="22"/>
        </w:rPr>
        <w:t>pubescens</w:t>
      </w:r>
      <w:proofErr w:type="spellEnd"/>
      <w:r>
        <w:rPr>
          <w:i/>
          <w:iCs/>
          <w:color w:val="auto"/>
          <w:sz w:val="22"/>
          <w:szCs w:val="22"/>
        </w:rPr>
        <w:t xml:space="preserve"> </w:t>
      </w:r>
      <w:r>
        <w:rPr>
          <w:color w:val="auto"/>
          <w:sz w:val="22"/>
          <w:szCs w:val="22"/>
        </w:rPr>
        <w:t xml:space="preserve">ssp. </w:t>
      </w:r>
      <w:proofErr w:type="spellStart"/>
      <w:r>
        <w:rPr>
          <w:i/>
          <w:iCs/>
          <w:color w:val="auto"/>
          <w:sz w:val="22"/>
          <w:szCs w:val="22"/>
        </w:rPr>
        <w:t>czerepanovii</w:t>
      </w:r>
      <w:proofErr w:type="spellEnd"/>
      <w:r>
        <w:rPr>
          <w:i/>
          <w:iCs/>
          <w:color w:val="auto"/>
          <w:sz w:val="22"/>
          <w:szCs w:val="22"/>
        </w:rPr>
        <w:t xml:space="preserve"> </w:t>
      </w:r>
      <w:r>
        <w:rPr>
          <w:color w:val="auto"/>
          <w:sz w:val="22"/>
          <w:szCs w:val="22"/>
        </w:rPr>
        <w:t xml:space="preserve">9050 </w:t>
      </w:r>
      <w:proofErr w:type="spellStart"/>
      <w:r>
        <w:rPr>
          <w:color w:val="auto"/>
          <w:sz w:val="22"/>
          <w:szCs w:val="22"/>
        </w:rPr>
        <w:t>Fennoscandian</w:t>
      </w:r>
      <w:proofErr w:type="spellEnd"/>
      <w:r>
        <w:rPr>
          <w:color w:val="auto"/>
          <w:sz w:val="22"/>
          <w:szCs w:val="22"/>
        </w:rPr>
        <w:t xml:space="preserve"> herb-rich forests with </w:t>
      </w:r>
      <w:proofErr w:type="spellStart"/>
      <w:r>
        <w:rPr>
          <w:i/>
          <w:iCs/>
          <w:color w:val="auto"/>
          <w:sz w:val="22"/>
          <w:szCs w:val="22"/>
        </w:rPr>
        <w:t>Picea</w:t>
      </w:r>
      <w:proofErr w:type="spellEnd"/>
      <w:r>
        <w:rPr>
          <w:i/>
          <w:iCs/>
          <w:color w:val="auto"/>
          <w:sz w:val="22"/>
          <w:szCs w:val="22"/>
        </w:rPr>
        <w:t xml:space="preserve"> </w:t>
      </w:r>
      <w:proofErr w:type="spellStart"/>
      <w:r>
        <w:rPr>
          <w:i/>
          <w:iCs/>
          <w:color w:val="auto"/>
          <w:sz w:val="22"/>
          <w:szCs w:val="22"/>
        </w:rPr>
        <w:t>abies</w:t>
      </w:r>
      <w:proofErr w:type="spellEnd"/>
      <w:r>
        <w:rPr>
          <w:i/>
          <w:iCs/>
          <w:color w:val="auto"/>
          <w:sz w:val="22"/>
          <w:szCs w:val="22"/>
        </w:rPr>
        <w:t xml:space="preserve"> </w:t>
      </w:r>
      <w:r>
        <w:rPr>
          <w:color w:val="auto"/>
          <w:sz w:val="22"/>
          <w:szCs w:val="22"/>
        </w:rPr>
        <w:t xml:space="preserve">9060 Coniferous forests on, or connected to, </w:t>
      </w:r>
      <w:proofErr w:type="spellStart"/>
      <w:r>
        <w:rPr>
          <w:color w:val="auto"/>
          <w:sz w:val="22"/>
          <w:szCs w:val="22"/>
        </w:rPr>
        <w:t>glaciofluvial</w:t>
      </w:r>
      <w:proofErr w:type="spellEnd"/>
      <w:r>
        <w:rPr>
          <w:color w:val="auto"/>
          <w:sz w:val="22"/>
          <w:szCs w:val="22"/>
        </w:rPr>
        <w:t xml:space="preserve"> eskers 9070 </w:t>
      </w:r>
      <w:proofErr w:type="spellStart"/>
      <w:r>
        <w:rPr>
          <w:color w:val="auto"/>
          <w:sz w:val="22"/>
          <w:szCs w:val="22"/>
        </w:rPr>
        <w:t>Fennoscandian</w:t>
      </w:r>
      <w:proofErr w:type="spellEnd"/>
      <w:r>
        <w:rPr>
          <w:color w:val="auto"/>
          <w:sz w:val="22"/>
          <w:szCs w:val="22"/>
        </w:rPr>
        <w:t xml:space="preserve"> wooded pastures 9080 * </w:t>
      </w:r>
      <w:proofErr w:type="spellStart"/>
      <w:r>
        <w:rPr>
          <w:color w:val="auto"/>
          <w:sz w:val="22"/>
          <w:szCs w:val="22"/>
        </w:rPr>
        <w:t>Fennoscandian</w:t>
      </w:r>
      <w:proofErr w:type="spellEnd"/>
      <w:r>
        <w:rPr>
          <w:color w:val="auto"/>
          <w:sz w:val="22"/>
          <w:szCs w:val="22"/>
        </w:rPr>
        <w:t xml:space="preserve"> deciduous swamp woods </w:t>
      </w:r>
    </w:p>
    <w:p w:rsidR="00732D48" w:rsidRDefault="00732D48" w:rsidP="00732D48">
      <w:pPr>
        <w:pStyle w:val="Default"/>
        <w:spacing w:before="120"/>
        <w:ind w:left="-20" w:right="-20"/>
        <w:rPr>
          <w:color w:val="auto"/>
          <w:sz w:val="22"/>
          <w:szCs w:val="22"/>
        </w:rPr>
      </w:pPr>
      <w:r>
        <w:rPr>
          <w:b/>
          <w:bCs/>
          <w:color w:val="auto"/>
          <w:sz w:val="22"/>
          <w:szCs w:val="22"/>
        </w:rPr>
        <w:t xml:space="preserve">91. Forests of Temperate Europe </w:t>
      </w:r>
    </w:p>
    <w:p w:rsidR="00732D48" w:rsidRDefault="00732D48" w:rsidP="00732D48">
      <w:pPr>
        <w:pStyle w:val="Default"/>
        <w:spacing w:before="120"/>
        <w:ind w:left="-20" w:right="-20"/>
        <w:rPr>
          <w:color w:val="auto"/>
          <w:sz w:val="22"/>
          <w:szCs w:val="22"/>
        </w:rPr>
      </w:pPr>
      <w:r>
        <w:rPr>
          <w:color w:val="auto"/>
          <w:sz w:val="22"/>
          <w:szCs w:val="22"/>
        </w:rPr>
        <w:t xml:space="preserve">9120 Atlantic </w:t>
      </w:r>
      <w:proofErr w:type="spellStart"/>
      <w:r>
        <w:rPr>
          <w:color w:val="auto"/>
          <w:sz w:val="22"/>
          <w:szCs w:val="22"/>
        </w:rPr>
        <w:t>acidophilous</w:t>
      </w:r>
      <w:proofErr w:type="spellEnd"/>
      <w:r>
        <w:rPr>
          <w:color w:val="auto"/>
          <w:sz w:val="22"/>
          <w:szCs w:val="22"/>
        </w:rPr>
        <w:t xml:space="preserve"> beech forests with </w:t>
      </w:r>
      <w:r>
        <w:rPr>
          <w:i/>
          <w:iCs/>
          <w:color w:val="auto"/>
          <w:sz w:val="22"/>
          <w:szCs w:val="22"/>
        </w:rPr>
        <w:t xml:space="preserve">Ilex </w:t>
      </w:r>
      <w:r>
        <w:rPr>
          <w:color w:val="auto"/>
          <w:sz w:val="22"/>
          <w:szCs w:val="22"/>
        </w:rPr>
        <w:t xml:space="preserve">and sometimes also </w:t>
      </w:r>
      <w:proofErr w:type="spellStart"/>
      <w:r>
        <w:rPr>
          <w:i/>
          <w:iCs/>
          <w:color w:val="auto"/>
          <w:sz w:val="22"/>
          <w:szCs w:val="22"/>
        </w:rPr>
        <w:t>Taxus</w:t>
      </w:r>
      <w:proofErr w:type="spellEnd"/>
      <w:r>
        <w:rPr>
          <w:i/>
          <w:iCs/>
          <w:color w:val="auto"/>
          <w:sz w:val="22"/>
          <w:szCs w:val="22"/>
        </w:rPr>
        <w:t xml:space="preserve"> </w:t>
      </w:r>
      <w:r>
        <w:rPr>
          <w:color w:val="auto"/>
          <w:sz w:val="22"/>
          <w:szCs w:val="22"/>
        </w:rPr>
        <w:t xml:space="preserve">in the </w:t>
      </w:r>
      <w:proofErr w:type="spellStart"/>
      <w:r>
        <w:rPr>
          <w:color w:val="auto"/>
          <w:sz w:val="22"/>
          <w:szCs w:val="22"/>
        </w:rPr>
        <w:t>shrublayer</w:t>
      </w:r>
      <w:proofErr w:type="spellEnd"/>
      <w:r>
        <w:rPr>
          <w:color w:val="auto"/>
          <w:sz w:val="22"/>
          <w:szCs w:val="22"/>
        </w:rPr>
        <w:t xml:space="preserve"> (</w:t>
      </w:r>
      <w:proofErr w:type="spellStart"/>
      <w:r>
        <w:rPr>
          <w:i/>
          <w:iCs/>
          <w:color w:val="auto"/>
          <w:sz w:val="22"/>
          <w:szCs w:val="22"/>
        </w:rPr>
        <w:t>Quercion</w:t>
      </w:r>
      <w:proofErr w:type="spellEnd"/>
      <w:r>
        <w:rPr>
          <w:i/>
          <w:iCs/>
          <w:color w:val="auto"/>
          <w:sz w:val="22"/>
          <w:szCs w:val="22"/>
        </w:rPr>
        <w:t xml:space="preserve"> </w:t>
      </w:r>
      <w:proofErr w:type="spellStart"/>
      <w:r>
        <w:rPr>
          <w:i/>
          <w:iCs/>
          <w:color w:val="auto"/>
          <w:sz w:val="22"/>
          <w:szCs w:val="22"/>
        </w:rPr>
        <w:t>robori-petraeae</w:t>
      </w:r>
      <w:proofErr w:type="spellEnd"/>
      <w:r>
        <w:rPr>
          <w:i/>
          <w:iCs/>
          <w:color w:val="auto"/>
          <w:sz w:val="22"/>
          <w:szCs w:val="22"/>
        </w:rPr>
        <w:t xml:space="preserve"> </w:t>
      </w:r>
      <w:r>
        <w:rPr>
          <w:color w:val="auto"/>
          <w:sz w:val="22"/>
          <w:szCs w:val="22"/>
        </w:rPr>
        <w:t xml:space="preserve">or </w:t>
      </w:r>
      <w:proofErr w:type="spellStart"/>
      <w:r>
        <w:rPr>
          <w:i/>
          <w:iCs/>
          <w:color w:val="auto"/>
          <w:sz w:val="22"/>
          <w:szCs w:val="22"/>
        </w:rPr>
        <w:t>Ilici-Fagenion</w:t>
      </w:r>
      <w:proofErr w:type="spellEnd"/>
      <w:r>
        <w:rPr>
          <w:color w:val="auto"/>
          <w:sz w:val="22"/>
          <w:szCs w:val="22"/>
        </w:rPr>
        <w:t xml:space="preserve">) Caledonian forest </w:t>
      </w:r>
    </w:p>
    <w:p w:rsidR="00B7167A" w:rsidRDefault="00B7167A" w:rsidP="00732D48">
      <w:pPr>
        <w:pStyle w:val="Default"/>
        <w:spacing w:before="120"/>
        <w:ind w:left="-20" w:right="-20"/>
        <w:rPr>
          <w:color w:val="auto"/>
          <w:sz w:val="22"/>
          <w:szCs w:val="22"/>
        </w:rPr>
      </w:pPr>
      <w:r>
        <w:rPr>
          <w:sz w:val="22"/>
          <w:szCs w:val="22"/>
        </w:rPr>
        <w:t xml:space="preserve">9160 Sub-Atlantic and </w:t>
      </w:r>
      <w:proofErr w:type="spellStart"/>
      <w:r>
        <w:rPr>
          <w:sz w:val="22"/>
          <w:szCs w:val="22"/>
        </w:rPr>
        <w:t>medio</w:t>
      </w:r>
      <w:proofErr w:type="spellEnd"/>
      <w:r>
        <w:rPr>
          <w:sz w:val="22"/>
          <w:szCs w:val="22"/>
        </w:rPr>
        <w:t xml:space="preserve">-European oak or oak-hornbeam forests of the </w:t>
      </w:r>
      <w:proofErr w:type="spellStart"/>
      <w:r>
        <w:rPr>
          <w:i/>
          <w:iCs/>
          <w:sz w:val="22"/>
          <w:szCs w:val="22"/>
        </w:rPr>
        <w:t>Carpinion</w:t>
      </w:r>
      <w:proofErr w:type="spellEnd"/>
      <w:r>
        <w:rPr>
          <w:i/>
          <w:iCs/>
          <w:sz w:val="22"/>
          <w:szCs w:val="22"/>
        </w:rPr>
        <w:t xml:space="preserve"> </w:t>
      </w:r>
      <w:proofErr w:type="spellStart"/>
      <w:r>
        <w:rPr>
          <w:i/>
          <w:iCs/>
          <w:sz w:val="22"/>
          <w:szCs w:val="22"/>
        </w:rPr>
        <w:t>betuli</w:t>
      </w:r>
      <w:proofErr w:type="spellEnd"/>
    </w:p>
    <w:p w:rsidR="00732D48" w:rsidRDefault="00732D48" w:rsidP="00732D48">
      <w:pPr>
        <w:pStyle w:val="Default"/>
        <w:spacing w:before="120"/>
        <w:ind w:left="-20" w:right="-20"/>
        <w:rPr>
          <w:color w:val="auto"/>
          <w:sz w:val="22"/>
          <w:szCs w:val="22"/>
        </w:rPr>
      </w:pPr>
      <w:r>
        <w:rPr>
          <w:color w:val="auto"/>
          <w:sz w:val="22"/>
          <w:szCs w:val="22"/>
        </w:rPr>
        <w:t xml:space="preserve">91D0 * Bog woodland </w:t>
      </w:r>
    </w:p>
    <w:p w:rsidR="000525F8" w:rsidRPr="000525F8" w:rsidRDefault="00732D48" w:rsidP="00732D48">
      <w:pPr>
        <w:pStyle w:val="Default"/>
        <w:spacing w:before="120"/>
        <w:ind w:left="-20" w:right="-20"/>
        <w:rPr>
          <w:rFonts w:ascii="Arial" w:hAnsi="Arial" w:cs="Arial"/>
        </w:rPr>
      </w:pPr>
      <w:r>
        <w:rPr>
          <w:color w:val="auto"/>
          <w:sz w:val="22"/>
          <w:szCs w:val="22"/>
        </w:rPr>
        <w:t xml:space="preserve">91E0 * Alluvial forests with </w:t>
      </w:r>
      <w:proofErr w:type="spellStart"/>
      <w:r>
        <w:rPr>
          <w:i/>
          <w:iCs/>
          <w:color w:val="auto"/>
          <w:sz w:val="22"/>
          <w:szCs w:val="22"/>
        </w:rPr>
        <w:t>Alnus</w:t>
      </w:r>
      <w:proofErr w:type="spellEnd"/>
      <w:r>
        <w:rPr>
          <w:i/>
          <w:iCs/>
          <w:color w:val="auto"/>
          <w:sz w:val="22"/>
          <w:szCs w:val="22"/>
        </w:rPr>
        <w:t xml:space="preserve"> </w:t>
      </w:r>
      <w:proofErr w:type="spellStart"/>
      <w:r>
        <w:rPr>
          <w:i/>
          <w:iCs/>
          <w:color w:val="auto"/>
          <w:sz w:val="22"/>
          <w:szCs w:val="22"/>
        </w:rPr>
        <w:t>glutinosa</w:t>
      </w:r>
      <w:proofErr w:type="spellEnd"/>
      <w:r>
        <w:rPr>
          <w:i/>
          <w:iCs/>
          <w:color w:val="auto"/>
          <w:sz w:val="22"/>
          <w:szCs w:val="22"/>
        </w:rPr>
        <w:t xml:space="preserve"> </w:t>
      </w:r>
      <w:r>
        <w:rPr>
          <w:color w:val="auto"/>
          <w:sz w:val="22"/>
          <w:szCs w:val="22"/>
        </w:rPr>
        <w:t xml:space="preserve">and </w:t>
      </w:r>
      <w:proofErr w:type="spellStart"/>
      <w:r>
        <w:rPr>
          <w:i/>
          <w:iCs/>
          <w:color w:val="auto"/>
          <w:sz w:val="22"/>
          <w:szCs w:val="22"/>
        </w:rPr>
        <w:t>Fraxinus</w:t>
      </w:r>
      <w:proofErr w:type="spellEnd"/>
      <w:r>
        <w:rPr>
          <w:i/>
          <w:iCs/>
          <w:color w:val="auto"/>
          <w:sz w:val="22"/>
          <w:szCs w:val="22"/>
        </w:rPr>
        <w:t xml:space="preserve"> excelsior </w:t>
      </w:r>
      <w:r>
        <w:rPr>
          <w:color w:val="auto"/>
          <w:sz w:val="22"/>
          <w:szCs w:val="22"/>
        </w:rPr>
        <w:t>(</w:t>
      </w:r>
      <w:proofErr w:type="spellStart"/>
      <w:r>
        <w:rPr>
          <w:i/>
          <w:iCs/>
          <w:color w:val="auto"/>
          <w:sz w:val="22"/>
          <w:szCs w:val="22"/>
        </w:rPr>
        <w:t>Alno-Padion</w:t>
      </w:r>
      <w:proofErr w:type="spellEnd"/>
      <w:r>
        <w:rPr>
          <w:i/>
          <w:iCs/>
          <w:color w:val="auto"/>
          <w:sz w:val="22"/>
          <w:szCs w:val="22"/>
        </w:rPr>
        <w:t xml:space="preserve">, </w:t>
      </w:r>
      <w:proofErr w:type="spellStart"/>
      <w:r>
        <w:rPr>
          <w:i/>
          <w:iCs/>
          <w:color w:val="auto"/>
          <w:sz w:val="22"/>
          <w:szCs w:val="22"/>
        </w:rPr>
        <w:t>Alnion</w:t>
      </w:r>
      <w:proofErr w:type="spellEnd"/>
      <w:r>
        <w:rPr>
          <w:i/>
          <w:iCs/>
          <w:color w:val="auto"/>
          <w:sz w:val="22"/>
          <w:szCs w:val="22"/>
        </w:rPr>
        <w:t xml:space="preserve"> </w:t>
      </w:r>
      <w:proofErr w:type="spellStart"/>
      <w:r>
        <w:rPr>
          <w:i/>
          <w:iCs/>
          <w:color w:val="auto"/>
          <w:sz w:val="22"/>
          <w:szCs w:val="22"/>
        </w:rPr>
        <w:t>incanae</w:t>
      </w:r>
      <w:proofErr w:type="spellEnd"/>
      <w:r>
        <w:rPr>
          <w:i/>
          <w:iCs/>
          <w:color w:val="auto"/>
          <w:sz w:val="22"/>
          <w:szCs w:val="22"/>
        </w:rPr>
        <w:t xml:space="preserve">, </w:t>
      </w:r>
      <w:proofErr w:type="spellStart"/>
      <w:r>
        <w:rPr>
          <w:i/>
          <w:iCs/>
          <w:color w:val="auto"/>
          <w:sz w:val="22"/>
          <w:szCs w:val="22"/>
        </w:rPr>
        <w:t>Salicion</w:t>
      </w:r>
      <w:proofErr w:type="spellEnd"/>
      <w:r>
        <w:rPr>
          <w:i/>
          <w:iCs/>
          <w:color w:val="auto"/>
          <w:sz w:val="22"/>
          <w:szCs w:val="22"/>
        </w:rPr>
        <w:t xml:space="preserve"> </w:t>
      </w:r>
      <w:proofErr w:type="spellStart"/>
      <w:r>
        <w:rPr>
          <w:i/>
          <w:iCs/>
          <w:color w:val="auto"/>
          <w:sz w:val="22"/>
          <w:szCs w:val="22"/>
        </w:rPr>
        <w:t>albae</w:t>
      </w:r>
      <w:proofErr w:type="spellEnd"/>
      <w:r>
        <w:rPr>
          <w:color w:val="auto"/>
          <w:sz w:val="22"/>
          <w:szCs w:val="22"/>
        </w:rPr>
        <w:t xml:space="preserve">) </w:t>
      </w:r>
    </w:p>
    <w:sectPr w:rsidR="000525F8" w:rsidRPr="000525F8" w:rsidSect="00274C2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2D48"/>
    <w:rsid w:val="000525F8"/>
    <w:rsid w:val="00274C2F"/>
    <w:rsid w:val="00732D48"/>
    <w:rsid w:val="00B716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C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2D4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476</Words>
  <Characters>2716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Ramsar Europe</dc:creator>
  <cp:lastModifiedBy>Ramsar Europe</cp:lastModifiedBy>
  <cp:revision>1</cp:revision>
  <cp:lastPrinted>2013-06-18T08:07:00Z</cp:lastPrinted>
  <dcterms:created xsi:type="dcterms:W3CDTF">2013-06-18T07:55:00Z</dcterms:created>
  <dcterms:modified xsi:type="dcterms:W3CDTF">2013-06-18T08:10:00Z</dcterms:modified>
</cp:coreProperties>
</file>